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97\29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4.05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БЮРОКРАТ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5048035314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55048001063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47937/08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4.05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23.05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Кресла серии MG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31.01.11.15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9401 39 0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6:43, 10.06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