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5" w:rsidRPr="003A2236" w:rsidRDefault="00071FE5" w:rsidP="0033423F">
      <w:pPr>
        <w:pStyle w:val="2"/>
      </w:pPr>
      <w:r w:rsidRPr="003A2236"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2043\5\2020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09.09.2020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«ФЕСТ»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7604064200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1047600400671</w:t>
      </w:r>
      <w:proofErr w:type="gramEnd"/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65685/08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09.09.2020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08.09.2021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1"/>
        <w:gridCol w:w="1654"/>
        <w:gridCol w:w="1654"/>
        <w:gridCol w:w="1666"/>
        <w:gridCol w:w="2070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 xml:space="preserve">по </w:t>
            </w:r>
            <w:proofErr w:type="gramStart"/>
            <w:r w:rsidRPr="00955F1B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Мебель металлическая для офиса - кресла моделей: Афродита, Бона, Барокко,</w:t>
            </w:r>
            <w:proofErr w:type="gramStart"/>
            <w:r w:rsidRPr="0095141E">
              <w:rPr>
                <w:rFonts w:ascii="Times New Roman" w:hAnsi="Times New Roman"/>
              </w:rPr>
              <w:t xml:space="preserve"> ,</w:t>
            </w:r>
            <w:proofErr w:type="gramEnd"/>
            <w:r w:rsidRPr="0095141E">
              <w:rPr>
                <w:rFonts w:ascii="Times New Roman" w:hAnsi="Times New Roman"/>
              </w:rPr>
              <w:t xml:space="preserve"> Кайман, Калипс, Самба GTP, Самба Люкс GTP, Фигаро GTS, Исида, Комо/2, Эра, Аврора, Атлас, Веста, Комо/3,Комо/4,Самба, Самба со столиком, София, Форум, Юнона, Аделина, Алиса, Амели, Амур, Арес, Артур, Арфа, </w:t>
            </w:r>
            <w:r w:rsidRPr="0095141E">
              <w:rPr>
                <w:rFonts w:ascii="Times New Roman" w:hAnsi="Times New Roman"/>
              </w:rPr>
              <w:lastRenderedPageBreak/>
              <w:t xml:space="preserve">Аталанта, Аура, Афины, Нео,Байрон, Бона, Борн,Дюк, Либрия, Лизье, Ория,Вуд 1,Вуд 20, Галатея, Эдмонда, Электра, Эфес; Клио, </w:t>
            </w:r>
            <w:r w:rsidRPr="0033423F">
              <w:rPr>
                <w:rFonts w:ascii="Times New Roman" w:hAnsi="Times New Roman"/>
                <w:b/>
              </w:rPr>
              <w:t>Кресла серии BRABIX</w:t>
            </w:r>
            <w:r w:rsidRPr="0095141E">
              <w:rPr>
                <w:rFonts w:ascii="Times New Roman" w:hAnsi="Times New Roman"/>
              </w:rPr>
              <w:t>, Астек, Вальтер, Гарвард, Дейл, Директ Лайт, Директ Люкс, Дикси</w:t>
            </w:r>
            <w:proofErr w:type="gramStart"/>
            <w:r w:rsidRPr="0095141E">
              <w:rPr>
                <w:rFonts w:ascii="Times New Roman" w:hAnsi="Times New Roman"/>
              </w:rPr>
              <w:t xml:space="preserve"> ,</w:t>
            </w:r>
            <w:proofErr w:type="gramEnd"/>
            <w:r w:rsidRPr="0095141E">
              <w:rPr>
                <w:rFonts w:ascii="Times New Roman" w:hAnsi="Times New Roman"/>
              </w:rPr>
              <w:t>Дэли, Дюна, Изи, Аватар, Альфа, Амиго, Бета, Билл, Бюро, Галант, Гамма, Гамбит, Клип, Комфорт, Космо, Кембридж, Лайк, Логика, Лотар, Луис, Марк, Манго, Мартин, Эрго, Метро, Меш, Наварра, Нед, Ник, Нептун, Нова, Норд, Нота, Оберон, Оскар, Орфей, Панчо, Паул, Престиж, Поинт, Ральф, Регал,Сеньор, Сириус, Стар, Стэнфорд, Таск, Тоник, Трансформер, Тратто, Ультра</w:t>
            </w:r>
            <w:proofErr w:type="gramStart"/>
            <w:r w:rsidRPr="0095141E">
              <w:rPr>
                <w:rFonts w:ascii="Times New Roman" w:hAnsi="Times New Roman"/>
              </w:rPr>
              <w:t>,Ф</w:t>
            </w:r>
            <w:proofErr w:type="gramEnd"/>
            <w:r w:rsidRPr="0095141E">
              <w:rPr>
                <w:rFonts w:ascii="Times New Roman" w:hAnsi="Times New Roman"/>
              </w:rPr>
              <w:t>лип, Фокус, Фред, Фреш, Чарли, Чип, Честер, Эмир, Энтер, Энтер Комби, Юпитер, Аннеси, Аспект, Бордо, Дельта, Каси, Кора, Кортина, Квест, Кронос, Сатурн, Серна, Сильвия, Стандарт, Тренд, Рольф, Форма, Эзель. -кресла артикулов: НВ-883, УН1004НПА, ЛС-001 — ЛС-099, 850, 858, 5434, Т-1, В-1, 670, 727;  МС-001 — МС-099, НВ-701, НВ-821, НВ-881.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lastRenderedPageBreak/>
              <w:t>31.01.11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9401 30 000 1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09:39, 12.02.2021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2D" w:rsidRDefault="00FE542D" w:rsidP="00071FE5">
      <w:r>
        <w:separator/>
      </w:r>
    </w:p>
  </w:endnote>
  <w:endnote w:type="continuationSeparator" w:id="0">
    <w:p w:rsidR="00FE542D" w:rsidRDefault="00FE542D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2D" w:rsidRDefault="00FE542D" w:rsidP="00071FE5">
      <w:r>
        <w:separator/>
      </w:r>
    </w:p>
  </w:footnote>
  <w:footnote w:type="continuationSeparator" w:id="0">
    <w:p w:rsidR="00FE542D" w:rsidRDefault="00FE542D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3423F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4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342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4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342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Аронов Андрей Александрович</cp:lastModifiedBy>
  <cp:revision>2</cp:revision>
  <dcterms:created xsi:type="dcterms:W3CDTF">2021-02-12T06:39:00Z</dcterms:created>
  <dcterms:modified xsi:type="dcterms:W3CDTF">2021-02-12T06:39:00Z</dcterms:modified>
</cp:coreProperties>
</file>